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22"/>
        <w:pBdr/>
        <w:spacing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2"/>
        <w:pBdr/>
        <w:spacing w:after="240" w:before="120"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 поверљивости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20" w:before="12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/>
          <w:sz w:val="20"/>
          <w:lang w:val="sr-Latn-RS"/>
        </w:rPr>
      </w:r>
      <w:r>
        <w:rPr>
          <w:rFonts w:ascii="Arial" w:hAnsi="Arial"/>
          <w:sz w:val="20"/>
          <w:lang w:val="sr-Latn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Закључен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између: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1.</w:t>
      </w:r>
      <w:r>
        <w:rPr>
          <w:rFonts w:ascii="Arial" w:hAnsi="Arial" w:cs="Arial"/>
          <w:sz w:val="20"/>
          <w:szCs w:val="20"/>
          <w:lang w:val="sr-Cyrl-RS"/>
        </w:rPr>
        <w:t xml:space="preserve"> Друштва за истраживање, производњу, прераду, дистрибуцију  и промет нафте и нафтних деривата и истраживање и производњу природног гаса „Нафтна индустрија Србије“ а.д. Нови Сад, ул. Народног фронта, бр. 12, 21000 Нови Сад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ПИБ: 104052135, матични број: 20084693 (у даљем тексту НИС а.д. Нови Сад), кога на основу </w:t>
      </w:r>
      <w:permStart w:edGrp="everyone" w:id="249978325"/>
      <w:r>
        <w:rPr>
          <w:rFonts w:ascii="Arial" w:hAnsi="Arial" w:cs="Arial"/>
          <w:bCs/>
          <w:sz w:val="20"/>
          <w:szCs w:val="20"/>
          <w:lang w:val="sr-Cyrl-RS"/>
        </w:rPr>
        <w:t xml:space="preserve">пуномоћја Генералног директора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НИС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а.д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. Нови Сад број </w:t>
      </w:r>
      <w:r>
        <w:rPr>
          <w:rFonts w:ascii="Arial" w:hAnsi="Arial" w:cs="Arial"/>
          <w:sz w:val="20"/>
          <w:szCs w:val="20"/>
        </w:rPr>
        <w:t xml:space="preserve">NM_040800/IN-PU/299/2021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од 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0</w:t>
      </w:r>
      <w:r>
        <w:rPr>
          <w:rFonts w:ascii="Arial" w:hAnsi="Arial" w:cs="Arial"/>
          <w:sz w:val="20"/>
          <w:szCs w:val="20"/>
        </w:rPr>
        <w:t xml:space="preserve">1.</w:t>
      </w:r>
      <w:r>
        <w:rPr>
          <w:rFonts w:ascii="Arial" w:hAnsi="Arial" w:cs="Arial"/>
          <w:sz w:val="20"/>
          <w:szCs w:val="20"/>
          <w:lang w:val="sr-Latn-RS"/>
        </w:rPr>
        <w:t xml:space="preserve">0</w:t>
      </w:r>
      <w:r>
        <w:rPr>
          <w:rFonts w:ascii="Arial" w:hAnsi="Arial" w:cs="Arial"/>
          <w:sz w:val="20"/>
          <w:szCs w:val="20"/>
        </w:rPr>
        <w:t xml:space="preserve">7.2021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. године заступа </w:t>
      </w:r>
      <w:r>
        <w:rPr>
          <w:rFonts w:ascii="Arial" w:hAnsi="Arial" w:cs="Arial"/>
          <w:sz w:val="20"/>
          <w:szCs w:val="20"/>
        </w:rPr>
        <w:t xml:space="preserve">руководилац</w:t>
      </w:r>
      <w:r>
        <w:rPr>
          <w:rFonts w:ascii="Arial" w:hAnsi="Arial" w:cs="Arial"/>
          <w:sz w:val="20"/>
          <w:szCs w:val="20"/>
          <w:lang w:val="sr-Cyrl-RS"/>
        </w:rPr>
        <w:t xml:space="preserve"> Сектора за заштиту информација, Михаил </w:t>
      </w:r>
      <w:r>
        <w:rPr>
          <w:rFonts w:ascii="Arial" w:hAnsi="Arial" w:cs="Arial"/>
          <w:sz w:val="20"/>
          <w:szCs w:val="20"/>
          <w:lang w:val="sr-Cyrl-RS"/>
        </w:rPr>
        <w:t xml:space="preserve">Коломејцев</w:t>
      </w:r>
      <w:permEnd w:id="249978325"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edGrp="everyone" w:id="586888692"/>
      <w:r>
        <w:rPr>
          <w:lang w:val="sr-Cyrl-RS"/>
        </w:rPr>
        <w:t xml:space="preserve">${</w:t>
      </w:r>
      <w:r>
        <w:rPr>
          <w:lang w:val="sr-Cyrl-RS"/>
        </w:rPr>
        <w:t xml:space="preserve">komitent_sve</w:t>
      </w:r>
      <w:r>
        <w:rPr>
          <w:lang w:val="sr-Cyrl-RS"/>
        </w:rPr>
        <w:t xml:space="preserve">}</w:t>
      </w:r>
      <w:permEnd w:id="586888692"/>
      <w:r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edGrp="everyone" w:id="1244739188"/>
      <w:r>
        <w:rPr>
          <w:lang w:val="sr-Cyrl-RS"/>
        </w:rPr>
        <w:t xml:space="preserve">${</w:t>
      </w:r>
      <w:r>
        <w:rPr>
          <w:lang w:val="sr-Cyrl-RS"/>
        </w:rPr>
        <w:t xml:space="preserve">zastupnik_nis_sve</w:t>
      </w:r>
      <w:r>
        <w:rPr>
          <w:lang w:val="sr-Cyrl-RS"/>
        </w:rPr>
        <w:t xml:space="preserve">}</w:t>
      </w:r>
      <w:permEnd w:id="1244739188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8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даљем тексту са заједничким називом: „Стране“, појединачно: „Страна“, при чему  свака страна може бити и Давалац и Прималац Података поверљиве природе</w:t>
      </w:r>
      <w:r>
        <w:rPr>
          <w:rFonts w:ascii="Arial" w:hAnsi="Arial" w:cs="Arial"/>
          <w:sz w:val="20"/>
          <w:szCs w:val="20"/>
          <w:lang w:val="sr-Latn-ME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 смислу овог Уговора:</w:t>
      </w:r>
      <w:r>
        <w:rPr>
          <w:rFonts w:ascii="Arial" w:hAnsi="Arial"/>
          <w:sz w:val="20"/>
          <w:lang w:val="sr-Latn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/>
          <w:sz w:val="20"/>
          <w:lang w:val="sr-Cyrl-RS"/>
        </w:rPr>
        <w:t xml:space="preserve">Стране су сагласне да </w:t>
      </w:r>
      <w:r>
        <w:rPr>
          <w:rFonts w:ascii="Arial" w:hAnsi="Arial" w:cs="Arial"/>
          <w:sz w:val="20"/>
          <w:szCs w:val="20"/>
          <w:lang w:val="sr-Cyrl-RS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>
        <w:rPr>
          <w:rFonts w:ascii="Arial" w:hAnsi="Arial"/>
          <w:sz w:val="20"/>
          <w:lang w:val="sr-Cyrl-RS"/>
        </w:rPr>
        <w:t xml:space="preserve">(у даљем тексту: </w:t>
      </w:r>
      <w:r>
        <w:rPr>
          <w:rFonts w:ascii="Arial" w:hAnsi="Arial" w:cs="Arial"/>
          <w:sz w:val="20"/>
          <w:szCs w:val="20"/>
          <w:lang w:val="sr-Cyrl-RS"/>
        </w:rPr>
        <w:t xml:space="preserve">Пословне активности), омогуће приступ и размену Података поверљиве природе, те да штите њихову поверљивост на начин и под условима утврђеним овим Уговором и прописима Републике Србије.  </w:t>
      </w:r>
      <w:r>
        <w:rPr>
          <w:rFonts w:ascii="Arial" w:hAnsi="Arial"/>
          <w:sz w:val="20"/>
          <w:lang w:val="sr-Latn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>
        <w:rPr>
          <w:rFonts w:ascii="Arial" w:hAnsi="Arial" w:cs="Arial"/>
          <w:sz w:val="20"/>
          <w:szCs w:val="20"/>
          <w:lang w:val="sr-Cyrl-RS"/>
        </w:rPr>
        <w:t xml:space="preserve">својство које значи да податак није доступан неовлашћеним лицима.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Подаци поверљиве природе – </w:t>
      </w:r>
      <w:r>
        <w:rPr>
          <w:rFonts w:ascii="Arial" w:hAnsi="Arial" w:cs="Arial"/>
          <w:sz w:val="20"/>
          <w:szCs w:val="20"/>
          <w:lang w:val="sr-Cyrl-RS"/>
        </w:rPr>
        <w:t xml:space="preserve">Пословна тајна и Пословни заштићени подаци.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Пословна тајна </w:t>
      </w:r>
      <w:r>
        <w:rPr>
          <w:rFonts w:ascii="Arial" w:hAnsi="Arial" w:cs="Arial"/>
          <w:sz w:val="20"/>
          <w:szCs w:val="20"/>
          <w:lang w:val="sr-Cyrl-RS"/>
        </w:rPr>
        <w:t xml:space="preserve">– представља податке који испуњавају следеће услове: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имају комерцијалну вредност јер представљају пословну тајну,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лице која их законито контролише (држалац) је у датим околностима предузело разумне мере како би сачувао њихову поверљивост.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Пословном тајном сматрају се 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 надлежног Органа сматрају Пословном тајном (Орган предста</w:t>
      </w:r>
      <w:r>
        <w:rPr>
          <w:rFonts w:ascii="Arial" w:hAnsi="Arial" w:cs="Arial"/>
          <w:sz w:val="20"/>
          <w:szCs w:val="20"/>
          <w:lang w:val="sr-Cyrl-RS"/>
        </w:rPr>
        <w:t xml:space="preserve">вља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5"/>
        </w:numPr>
        <w:pBdr/>
        <w:spacing/>
        <w:ind/>
        <w:rPr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креденцијали (корисничко име и лозинка) за приступ ИКТ систему НИС а.д. Нови Сад.</w:t>
      </w:r>
      <w:r>
        <w:rPr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Пословни заштићени подаци</w:t>
      </w:r>
      <w:r>
        <w:rPr>
          <w:rFonts w:ascii="Arial" w:hAnsi="Arial" w:cs="Arial"/>
          <w:sz w:val="20"/>
          <w:szCs w:val="20"/>
          <w:lang w:val="sr-Cyrl-RS"/>
        </w:rPr>
        <w:t xml:space="preserve"> –подаци који не представљају Пословну тајну, али из чије садржине, природе, порекла, сврхе и/или намене произилази да представљају Податке поверљиве природе, </w:t>
      </w:r>
      <w:r>
        <w:rPr>
          <w:rFonts w:ascii="Arial" w:hAnsi="Arial" w:cs="Arial"/>
          <w:sz w:val="20"/>
          <w:szCs w:val="20"/>
          <w:lang w:val="sr-Cyrl-RS"/>
        </w:rPr>
        <w:t xml:space="preserve">чије чување јесте у интересу Даваоца, тј. чије обелодањива</w:t>
      </w:r>
      <w:r>
        <w:rPr>
          <w:rFonts w:ascii="Arial" w:hAnsi="Arial" w:cs="Arial"/>
          <w:sz w:val="20"/>
          <w:szCs w:val="20"/>
          <w:lang w:val="sr-Cyrl-RS"/>
        </w:rPr>
        <w:t xml:space="preserve">ње и/или саопштавање од стране лица у чијем су поседу било ком другом лицу, штети или може шкодити тј. нанети штету Даваоцу, било непосредно или посредно. У Пословне заштићене податке спадају и они подаци и документи које као такве изричито одреди Давалац.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Носачи података </w:t>
      </w:r>
      <w:r>
        <w:rPr>
          <w:rFonts w:ascii="Arial" w:hAnsi="Arial" w:cs="Arial"/>
          <w:sz w:val="20"/>
          <w:szCs w:val="20"/>
          <w:lang w:val="sr-Cyrl-RS"/>
        </w:rPr>
        <w:t xml:space="preserve">–  су материјални и електронски медији попут: преносних дискова, УСБ медијума, ЦД/ДВД медијума и други медијуми путем којих могу да се преносе Подаци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jc w:val="both"/>
        <w:rPr>
          <w:rFonts w:eastAsia="Calibri" w:cs="Arial"/>
          <w:sz w:val="20"/>
          <w:lang w:val="sr-Cyrl-RS"/>
        </w:rPr>
      </w:pPr>
      <w:r>
        <w:rPr>
          <w:rFonts w:eastAsia="Calibri" w:cs="Arial"/>
          <w:b/>
          <w:sz w:val="20"/>
          <w:lang w:val="sr-Cyrl-RS"/>
        </w:rPr>
        <w:t xml:space="preserve">Ознаке поверљивости </w:t>
      </w:r>
      <w:r>
        <w:rPr>
          <w:rFonts w:eastAsia="Calibri" w:cs="Arial"/>
          <w:sz w:val="20"/>
          <w:lang w:val="sr-Cyrl-RS"/>
        </w:rPr>
        <w:t xml:space="preserve">– реквизити (ознаке и описи), који сведоче о поверљивости података садржаних на Носачу података, а који се стављају на сам носач и (или) на његову пратећу документацију.</w:t>
      </w:r>
      <w:r>
        <w:rPr>
          <w:rFonts w:eastAsia="Calibri" w:cs="Arial"/>
          <w:sz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која на основу правних прописа контролише коришћење Података поверљиве природе, односно страна која Примаоцу открива, односно предаје Податке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којој Давалац открива Податке поверљиве природе, односно Страна која од Даваоца прибавља такву врсту података, те прибављањем истих постаје корисник Података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Повезано лице</w:t>
      </w:r>
      <w:r>
        <w:rPr>
          <w:rFonts w:ascii="Arial" w:hAnsi="Arial" w:cs="Arial"/>
          <w:sz w:val="20"/>
          <w:szCs w:val="20"/>
          <w:lang w:val="sr-Cyrl-RS"/>
        </w:rPr>
        <w:t xml:space="preserve"> –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Под повезаним лицем сматра се: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35"/>
        <w:pBdr/>
        <w:spacing w:after="150" w:afterAutospacing="0" w:before="0" w:beforeAutospacing="0"/>
        <w:ind w:left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правно лице у којем једна од Страна поседује значајно учешће у капиталу или право да такво учешће стекне из конвертибилних обвезница, вараната, опција и слично;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Style w:val="1035"/>
        <w:pBdr/>
        <w:spacing w:after="150" w:afterAutospacing="0" w:before="0" w:beforeAutospacing="0"/>
        <w:ind w:firstLine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правно лице у којем је једна од Страна контролни члан друштва (контролисано друштво);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Bdr/>
        <w:spacing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правно лице које је заједно са једном од Страна под контролом трећег лица;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35"/>
        <w:pBdr/>
        <w:spacing w:after="150" w:afterAutospacing="0" w:before="0" w:beforeAutospacing="0"/>
        <w:ind w:left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лице које у једном од Страна поседује значајно учешће у капиталу, или право да такво учешће стекне из конвертибилних обвезница, вараната, опција и слично;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Style w:val="1035"/>
        <w:pBdr/>
        <w:spacing w:after="150" w:afterAutospacing="0" w:before="0" w:beforeAutospacing="0"/>
        <w:ind w:firstLine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лице које је контролни члан једне од Страна;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Bdr/>
        <w:spacing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лице које је директор, односно члан органа управљања или надзора једне од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Овлашћена лица</w:t>
      </w:r>
      <w:r>
        <w:rPr>
          <w:rFonts w:ascii="Arial" w:hAnsi="Arial" w:cs="Arial"/>
          <w:sz w:val="20"/>
          <w:szCs w:val="20"/>
          <w:lang w:val="sr-Cyrl-RS"/>
        </w:rPr>
        <w:t xml:space="preserve"> – под овлашћеним лицима сматрају се следећа лица: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- запослени, радно ангажована лица, службеници и директори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 запослени, радно ангажована лица, службеници и директори Повезаног лица;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консултанти, адвокати, ревизори или посредник које је ангажовала једна од Страна и/или Повезано лице;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овлашћена лица банака или других финансијских институција.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Податак о личности</w:t>
      </w:r>
      <w:r>
        <w:rPr>
          <w:rFonts w:ascii="Arial" w:hAnsi="Arial" w:cs="Arial"/>
          <w:sz w:val="20"/>
          <w:szCs w:val="20"/>
          <w:lang w:val="sr-Cyrl-RS"/>
        </w:rPr>
        <w:t xml:space="preserve"> - сваки податак који се односи на физичко лице чији је идентитет одређен или одредив, непосредно или посредно, посебно на основу ознаке</w:t>
      </w:r>
      <w:r>
        <w:rPr>
          <w:rFonts w:ascii="Arial" w:hAnsi="Arial" w:cs="Arial"/>
          <w:sz w:val="20"/>
          <w:szCs w:val="20"/>
          <w:lang w:val="sr-Cyrl-RS"/>
        </w:rPr>
        <w:t xml:space="preserve">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Податке поверљиве природе Даваоца у истој мери као и сопствене, уз предузимање разумних мера за очување њихове поверљивости.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се обавезује да Податке поверљиве природе Даваоца не открива трећим лицима, на било који начин, било усмено или на Носачу података, без претходне писане сагласности Даваоца.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прибављања претходне писане сагласности, ближе описана првим ставом овог члана, не постоји у следећим случајевима: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</w:t>
      </w:r>
      <w:r>
        <w:rPr>
          <w:rFonts w:ascii="Arial" w:hAnsi="Arial" w:cs="Arial"/>
          <w:sz w:val="20"/>
          <w:szCs w:val="20"/>
          <w:lang w:val="sr-Cyrl-RS"/>
        </w:rPr>
        <w:t xml:space="preserve">рироде Даваоца надлежним органима власти неопходно ради испуњења правних обавеза Примаоца, у складу с важећим законодавством, судском одлуком или актом државног органа, уз услов да се достављају само захтевани делови Података поверљиве природе и/или поједи</w:t>
      </w:r>
      <w:r>
        <w:rPr>
          <w:rFonts w:ascii="Arial" w:hAnsi="Arial" w:cs="Arial"/>
          <w:sz w:val="20"/>
          <w:szCs w:val="20"/>
          <w:lang w:val="sr-Cyrl-RS"/>
        </w:rPr>
        <w:t xml:space="preserve">начно захтевани Подаци поверљиве природе,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обавези достављања не обавести друга уговорна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Податке поверљиве природе Даваоца овлашћеним лицима, ближе дефинисаним чланом 2 овог Уговора, у оној мери у којој је то неопходно ради обављања њ</w:t>
      </w:r>
      <w:r>
        <w:rPr>
          <w:rFonts w:ascii="Arial" w:hAnsi="Arial" w:cs="Arial"/>
          <w:sz w:val="20"/>
          <w:szCs w:val="20"/>
          <w:lang w:val="sr-Cyrl-RS"/>
        </w:rPr>
        <w:t xml:space="preserve">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</w:t>
      </w:r>
      <w:r>
        <w:rPr>
          <w:rFonts w:ascii="Arial" w:hAnsi="Arial" w:cs="Arial"/>
          <w:sz w:val="20"/>
          <w:szCs w:val="20"/>
          <w:lang w:val="sr-Latn-RS"/>
        </w:rPr>
        <w:t xml:space="preserve"> података</w:t>
      </w:r>
      <w:r>
        <w:rPr>
          <w:rFonts w:ascii="Arial" w:hAnsi="Arial" w:cs="Arial"/>
          <w:sz w:val="20"/>
          <w:szCs w:val="20"/>
          <w:lang w:val="sr-Cyrl-RS"/>
        </w:rPr>
        <w:t xml:space="preserve">, односно да та лица имају професионалну обавезу, тј. одговарајућим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Податке поверљиве природе Даваоца правним </w:t>
      </w:r>
      <w:r>
        <w:rPr>
          <w:rFonts w:ascii="Arial" w:hAnsi="Arial" w:cs="Arial"/>
          <w:sz w:val="20"/>
          <w:szCs w:val="20"/>
          <w:lang w:val="sr-Cyrl-RS"/>
        </w:rPr>
        <w:t xml:space="preserve">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120" w:before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Података поверљиве природе: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од стране Даваоца већ познати Примаоцу;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за које Прималац може да докаже да су му били познати пре потписивања овог Уговора, из извора који не припада Даваоцу;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г)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прибави на законит начин од трећих лица, која их нису добила уз обавезу чувања поверљивости;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независно развије без позивања на Податке поверљиве природе обелодањене у складу са овим Уговором;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ђ)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одобрени за обелодањивање на основу претходног писаног овлашћења Даваоца. 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tabs>
          <w:tab w:val="left" w:leader="none" w:pos="360"/>
        </w:tabs>
        <w:spacing w:after="80" w:before="10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1020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Под</w:t>
      </w:r>
      <w:r>
        <w:rPr>
          <w:rFonts w:ascii="Arial" w:hAnsi="Arial" w:cs="Arial"/>
          <w:sz w:val="20"/>
          <w:szCs w:val="20"/>
          <w:lang w:val="sr-Cyrl-RS"/>
        </w:rPr>
        <w:t xml:space="preserve">атке поверљиве природе, када се они размењују преко незаштићених веза (ИНТЕРНЕТ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0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односи се и на откривање и размену таквих података преко незаштићених веза између Страна и Повезаних лица, овлашћених лица, као и свих других лица која у складу са овим Уговором користе Податке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0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од Страна је обавезна да одреди: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Лица овлашћена за размену Података поверљиве природе именом и презименом (у даљем тексту: Задужено лице),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поштанску адресу за размену Података поверљиве природе на Носачима података, кад се Подаци размењују посредством поште,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адресу електронске поште за размену Података поверљиве природе који се налазе у електронском облику, у ситуацији када се такви подаци размењују посредством Интернета-а,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односно да достави податке о сервису за размену електронских докумената прихватљивог уговорним странама (уколико ће се откривање, односно размена вршити путем сервиса),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Размена Података поверљиве природе не може почети пре испуњења обавеза из претходног става.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Носаче података који носе ознаку поверљивости Стране предају једна другој, уз Записник о примопредаји који потписују Задужена лица Страна.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поверљиве природе који се на Носачима података налазе у електронском облику достављају се у криптованом формату, уз потписивање Записника о примопредаји од стране Задужених лица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 обав</w:t>
      </w:r>
      <w:r>
        <w:rPr>
          <w:rFonts w:ascii="Arial" w:hAnsi="Arial" w:cs="Arial"/>
          <w:sz w:val="20"/>
          <w:szCs w:val="20"/>
          <w:lang w:val="sr-Cyrl-RS"/>
        </w:rPr>
        <w:t xml:space="preserve">ештења, захтеви и друга преписка у току важења овог Уговора, врши се у писаној форми, и то: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</w:r>
      <w:r>
        <w:rPr>
          <w:rFonts w:ascii="Arial" w:hAnsi="Arial"/>
          <w:sz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bookmarkStart w:id="0" w:name="_Hlk186097981"/>
      <w:r>
        <w:rPr>
          <w:rFonts w:ascii="Arial" w:hAnsi="Arial" w:cs="Arial"/>
          <w:sz w:val="20"/>
          <w:szCs w:val="20"/>
          <w:lang w:val="sr-Cyrl-RS"/>
        </w:rPr>
        <w:t xml:space="preserve">Уговорне стране сагласно констатују да ће приликом откривања/размене Података поверљиве природе означавати такве Податке на начин ближе уређен овим чланом Уговора.</w:t>
      </w:r>
      <w:bookmarkEnd w:id="0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 је НИС а.д. Нови Сад Давалац кој</w:t>
      </w:r>
      <w:r>
        <w:rPr>
          <w:rFonts w:ascii="Arial" w:hAnsi="Arial" w:cs="Arial"/>
          <w:sz w:val="20"/>
          <w:szCs w:val="20"/>
          <w:lang w:val="sr-Cyrl-RS"/>
        </w:rPr>
        <w:t xml:space="preserve">и доставља Податке поверљиве природе путем електронске поште или било којим другим електронским сервисима, у заглавље документа у електронском облику (датотеке), односно на почетак тела поруке електронске поште, смешта се једна од следеће 2 (две) напомене: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  „Пословна тајна/Business Secret“ 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• „Пословни заштићени подаци/Business Protected Data“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НИС а.д. Нови Сад Давалац Података поверљиве природе путем Носача података, примењују се следеће Ознаке поверљивости: </w:t>
      </w:r>
      <w:r>
        <w:rPr>
          <w:rFonts w:ascii="Arial" w:hAnsi="Arial"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Пословна тајна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НИС а.д.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Народног Фронта 12, 21000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или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Пословни заштићени подаци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НИС а.д.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Народног фронта</w:t>
      </w:r>
      <w:r>
        <w:rPr>
          <w:rFonts w:cs="Arial"/>
          <w:b/>
          <w:sz w:val="20"/>
          <w:lang w:val="sr-Cyrl-RS"/>
        </w:rPr>
        <w:t xml:space="preserve"> 12, 21000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</w:t>
      </w:r>
      <w:r>
        <w:rPr>
          <w:rFonts w:ascii="Arial" w:hAnsi="Arial" w:cs="Arial"/>
          <w:sz w:val="20"/>
          <w:szCs w:val="20"/>
          <w:lang w:val="sr-Cyrl-RS"/>
        </w:rPr>
        <w:t xml:space="preserve"> је Комитент Давалац који доставља Податке поверљиве природе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permStart w:edGrp="everyone" w:id="1230374776"/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Напомен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а: Потребно је унети ознаку/ознаке поверљивости сауговарача, које 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</w:t>
      </w:r>
      <w:bookmarkStart w:id="1" w:name="_Hlk186097990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Ову Напомену је потребно обрисати након уноса ознаке поверљивости</w:t>
      </w:r>
      <w:bookmarkEnd w:id="1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]</w:t>
      </w:r>
      <w:permEnd w:id="1230374776"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Комитент </w:t>
      </w:r>
      <w:r>
        <w:rPr>
          <w:rFonts w:ascii="Arial" w:hAnsi="Arial" w:cs="Arial"/>
          <w:sz w:val="20"/>
          <w:szCs w:val="20"/>
          <w:lang w:val="sr-Cyrl-RS"/>
        </w:rPr>
        <w:t xml:space="preserve">Давалац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поверљиве природе путем Носача података, примењују следећу Ознаку поверљивости: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/>
      <w:permStart w:edGrp="everyone" w:id="1477982263"/>
      <w:r>
        <w:rPr>
          <w:rFonts w:ascii="Arial" w:hAnsi="Arial"/>
          <w:sz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Напомена: Потребно је унети ознаку/ознаке поверљивости сауговарача, које 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Ову Напомену је потребно обрисати након уноса ознаке поверљивости.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]</w:t>
      </w:r>
      <w:permEnd w:id="1477982263"/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/>
          <w:sz w:val="20"/>
          <w:lang w:val="sr-Cyrl-RS"/>
        </w:rPr>
        <w:t xml:space="preserve">Откривање Података поверљиве природе</w:t>
      </w:r>
      <w:r>
        <w:rPr>
          <w:rFonts w:ascii="Arial" w:hAnsi="Arial" w:cs="Arial"/>
          <w:sz w:val="20"/>
          <w:szCs w:val="20"/>
          <w:lang w:val="sr-Cyrl-RS"/>
        </w:rPr>
        <w:t xml:space="preserve"> усменим путем, врши се</w:t>
      </w:r>
      <w:r>
        <w:rPr>
          <w:rFonts w:ascii="Arial" w:hAnsi="Arial" w:cs="Arial"/>
          <w:sz w:val="20"/>
          <w:szCs w:val="20"/>
          <w:lang w:val="sr-Cyrl-RS"/>
        </w:rPr>
        <w:t xml:space="preserve"> уз лично присуство Задужених и/или Овлашћених лица Страна. Страна која открива Податке поверљиве природе дужна је да на јасан и недвосмислен начин укаже на поверљиво својство података, приликом њиховог усменог откривања, као и да то записнички констатује.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20" w:left="360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8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којима су Стране имале приступ или су их открили/разменили до тренутка закључења овог Уговора.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Даваоца у смислу овог Уговора, а којима је Прималац имао приступ или су му предати/предочени током реализације Пословних активности ближе описаних чланом 1. овог Уговора.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</w:t>
      </w:r>
      <w:r>
        <w:rPr>
          <w:rFonts w:ascii="Arial" w:hAnsi="Arial" w:cs="Arial"/>
          <w:sz w:val="20"/>
          <w:szCs w:val="20"/>
          <w:lang w:val="sr-Cyrl-RS"/>
        </w:rPr>
        <w:t xml:space="preserve">кументи које је креирао Прималац на основу Података поверљиве природе достављених од стране Даваоца, а у вези са овим Уговором, морају се сматрати Податком поверљиве природе и због тога се Прималац према њима мора понашати у складу са одредбама овог Уговор</w:t>
      </w:r>
      <w:r>
        <w:rPr>
          <w:rFonts w:ascii="Arial" w:hAnsi="Arial" w:cs="Arial"/>
          <w:sz w:val="20"/>
          <w:szCs w:val="20"/>
          <w:lang w:val="sr-Cyrl-RS"/>
        </w:rPr>
        <w:t xml:space="preserve">а и применљивим правним прописима Републике Србије. Исти третман морају имати и резултати анализе, закључци, препоруке и други документи које креира једна Страна за рачун друге Стране, ако су се Стране споразумеле да се наведено третира као пословна тајна.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размене Података о личности, Стране се обавезују да ће обезбедити њихову поверљивост, као и да поступе у складу са применљивим правним прописима који регулишу заштиту података о личности.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 w:line="288" w:lineRule="auto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9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Давалац остаје власник достављених Података поверљиве природе. Давалац има право да, у било ком моменту, захтева од Примаоца повраћај добијених Носача података који садрже Податке поверљиве природе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Најкасније у року од 15 (петнаест) дана од дана пријема таквог захтева, Прималац је дужан да врати или, у складу са претходним договором са Даваоцем, уништи све примљене Носаче података који садрже Податке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може задржати једну архивску копију, уз крајње рестриктиван приступ Овлашћених лица, а ради праћења и испуњења обавеза.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10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Уколико у току трајања обавеза из овог Уговора, дође до статусних промена код уговорних С</w:t>
      </w:r>
      <w:r>
        <w:rPr>
          <w:rFonts w:ascii="Arial" w:hAnsi="Arial" w:cs="Arial"/>
          <w:sz w:val="20"/>
          <w:szCs w:val="20"/>
          <w:lang w:val="sr-Cyrl-RS"/>
        </w:rPr>
        <w:t xml:space="preserve">трана, права и обавезе прелазе на одговарајућег правног следбеника (следбенике). У случају евентуалне ликвидације Примаоца, Прималац је дужан да до окончања ликвидационог поступка обезбеди повраћај Даваоцу свих оригинала или, у складу са претходним писаним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договором са Даваоцем, уништавање свих примерака и облика копија примљених Носача података.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</w:r>
      <w:r>
        <w:rPr>
          <w:rFonts w:ascii="Arial" w:hAnsi="Arial"/>
          <w:sz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сноси одговорност за сваку и сву</w:t>
      </w:r>
      <w:r>
        <w:rPr>
          <w:rFonts w:ascii="Arial" w:hAnsi="Arial" w:cs="Arial"/>
          <w:sz w:val="20"/>
          <w:szCs w:val="20"/>
          <w:lang w:val="sr-Cyrl-RS"/>
        </w:rPr>
        <w:t xml:space="preserve"> штету коју претрпи Давалац услед кршења одредби овог Уговора о поверљивости,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</w:t>
      </w:r>
      <w:r>
        <w:rPr>
          <w:rFonts w:ascii="Arial" w:hAnsi="Arial" w:cs="Arial"/>
          <w:sz w:val="20"/>
          <w:szCs w:val="20"/>
          <w:lang w:val="sr-Cyrl-RS"/>
        </w:rPr>
        <w:t xml:space="preserve">има, организују заједнички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надлежност суда у Новом Саду.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Закључењем овог Уговора престају да важе сви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не обавезује Стране да закључе или да наставе са било којим могућим односом или трансакцијом.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Података поверљиве природе другој уговорној страни.</w:t>
      </w:r>
      <w:r>
        <w:rPr>
          <w:rFonts w:ascii="Arial" w:hAnsi="Arial"/>
          <w:sz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both"/>
        <w:rPr>
          <w:rFonts w:ascii="Arial" w:hAnsi="Arial"/>
          <w:b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 све што није регулисано одредбама овог Уговора, примениће се одредбе позитивноправних прописа Републике Србије применљивих, с обзиром на предмет Уговора.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/>
          <w:b/>
          <w:sz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по временском редоследу.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edGrp="everyone" w:id="794839873"/>
      <w:r>
        <w:rPr>
          <w:lang w:val="sr-Cyrl-RS"/>
        </w:rPr>
        <w:t xml:space="preserve">${ugovor_rokvazenja}</w:t>
      </w:r>
      <w:permEnd w:id="794839873"/>
      <w:r>
        <w:rPr>
          <w:rFonts w:ascii="Arial" w:hAnsi="Arial" w:cs="Arial"/>
          <w:sz w:val="20"/>
          <w:szCs w:val="20"/>
          <w:lang w:val="sr-Cyrl-RS"/>
        </w:rPr>
        <w:t xml:space="preserve">од дана закључења.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заштите откривених/размењених Података поверљиве природе остаје на снази 10 (десет) година од момента раскида или престанка важења овог Уговора.</w:t>
      </w:r>
      <w:r>
        <w:rPr>
          <w:rFonts w:ascii="Arial" w:hAnsi="Arial"/>
          <w:sz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је закључен  у 2 (два) оригинална  примерка на српском језику од којих, по 1 (један) примерак  задржава свака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Уговорне стране сагласно изјављују да су уговор прочитале, разумеле и да уговорне одредбе у свему представљају израз њихове стварне воље.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tbl>
      <w:tblPr>
        <w:jc w:val="center"/>
        <w:tblW w:w="11427" w:type="dxa"/>
        <w:tblBorders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>
        <w:trPr>
          <w:jc w:val="center"/>
        </w:trPr>
        <w:tc>
          <w:tcPr>
            <w:tcBorders/>
            <w:tcW w:w="397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За Комитента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/>
            <w:permStart w:edGrp="everyone" w:id="1299981572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Комитента: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</w:r>
          </w:p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t xml:space="preserve">${</w:t>
            </w:r>
            <w:r>
              <w:rPr>
                <w:lang w:val="sr-Cyrl-RS"/>
              </w:rPr>
              <w:t xml:space="preserve">potpisnik_komitent_sve</w:t>
            </w:r>
            <w:r>
              <w:rPr>
                <w:lang w:val="sr-Cyrl-RS"/>
              </w:rPr>
              <w:t xml:space="preserve">}</w:t>
            </w:r>
            <w:permEnd w:id="1299981572"/>
            <w:r/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  <w:r>
              <w:rPr>
                <w:rFonts w:ascii="Arial" w:hAnsi="Arial" w:cs="Arial"/>
                <w:sz w:val="18"/>
                <w:szCs w:val="18"/>
                <w:lang w:val="sr-Cyrl-RS" w:eastAsia="sr-Latn-CS"/>
              </w:rPr>
            </w:r>
            <w:r>
              <w:rPr>
                <w:rFonts w:ascii="Arial" w:hAnsi="Arial" w:cs="Arial"/>
                <w:sz w:val="18"/>
                <w:szCs w:val="18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keepNext w:val="true"/>
              <w:pBdr/>
              <w:spacing w:before="100"/>
              <w:ind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 xml:space="preserve">за</w:t>
            </w:r>
            <w:r>
              <w:rPr>
                <w:rFonts w:ascii="Arial" w:hAnsi="Arial" w:cs="Arial"/>
                <w:b/>
                <w:sz w:val="20"/>
                <w:lang w:val="sr-Cyrl-RS"/>
              </w:rPr>
            </w:r>
          </w:p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„НИС“ а.д. Нови Сад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/>
            <w:permStart w:edGrp="everyone" w:id="1579112913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Руководилац Сектора за заштиту информација</w:t>
            </w:r>
            <w:permEnd w:id="1579112913"/>
            <w:r/>
            <w:r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r>
          </w:p>
        </w:tc>
      </w:tr>
      <w:tr>
        <w:trPr>
          <w:jc w:val="center"/>
          <w:trHeight w:val="463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1036"/>
              <w:pBdr/>
              <w:spacing w:after="0" w:afterAutospacing="0" w:before="0" w:beforeAutospacing="0"/>
              <w:ind/>
              <w:rPr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     </w:t>
            </w:r>
            <w:permStart w:edGrp="everyone" w:id="1398614217"/>
            <w:r>
              <w:rPr>
                <w:lang w:val="sr-Cyrl-RS"/>
              </w:rPr>
              <w:t xml:space="preserve">${</w:t>
            </w:r>
            <w:r>
              <w:rPr>
                <w:lang w:val="sr-Cyrl-RS"/>
              </w:rPr>
              <w:t xml:space="preserve">potpisnik_komitent_imeiprezime</w:t>
            </w:r>
            <w:r>
              <w:rPr>
                <w:lang w:val="sr-Cyrl-RS"/>
              </w:rPr>
              <w:t xml:space="preserve">} </w:t>
            </w:r>
            <w:bookmarkStart w:id="2" w:name="_GoBack"/>
            <w:r/>
            <w:bookmarkEnd w:id="2"/>
            <w:r/>
            <w:permEnd w:id="1398614217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  <w:r>
              <w:rPr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shd w:val="clear" w:color="auto" w:fill="auto"/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vAlign w:val="bottom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rPr>
                <w:rFonts w:ascii="Arial" w:hAnsi="Arial" w:cs="Arial"/>
                <w:lang w:val="sr-Cyrl-RS" w:eastAsia="sr-Latn-CS"/>
              </w:rPr>
            </w:pPr>
            <w:r/>
            <w:permStart w:edGrp="everyone" w:id="522544271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Михаил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Коломејцев</w:t>
            </w:r>
            <w:permEnd w:id="522544271"/>
            <w:r/>
            <w:r>
              <w:rPr>
                <w:rFonts w:ascii="Arial" w:hAnsi="Arial" w:cs="Arial"/>
                <w:lang w:val="sr-Cyrl-RS" w:eastAsia="sr-Latn-CS"/>
              </w:rPr>
            </w:r>
          </w:p>
        </w:tc>
      </w:tr>
      <w:tr>
        <w:trPr>
          <w:jc w:val="center"/>
          <w:trHeight w:val="189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име и презиме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име и презиме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  <w:r>
              <w:rPr>
                <w:rFonts w:ascii="Arial" w:hAnsi="Arial"/>
                <w:sz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</w:t>
            </w:r>
            <w:r>
              <w:rPr>
                <w:rFonts w:ascii="Arial" w:hAnsi="Arial"/>
                <w:sz w:val="20"/>
                <w:lang w:val="sr-Cyrl-R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</w:tbl>
    <w:p>
      <w:pPr>
        <w:pBdr/>
        <w:spacing/>
        <w:ind/>
        <w:rPr>
          <w:lang w:val="sr-Cyrl-RS"/>
        </w:rPr>
      </w:pPr>
      <w:r>
        <w:rPr>
          <w:lang w:val="sr-Cyrl-RS"/>
        </w:rPr>
      </w:r>
      <w:r>
        <w:rPr>
          <w:lang w:val="sr-Cyrl-RS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h="15840" w:orient="portrait" w:w="12240"/>
      <w:pgMar w:top="1440" w:right="1440" w:bottom="1276" w:left="1440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MS Mincho">
    <w:panose1 w:val="02020603050405090304"/>
  </w:font>
  <w:font w:name="Calibri">
    <w:panose1 w:val="020F0502020204030204"/>
  </w:font>
  <w:font w:name="Consultant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ТФУ.НИС.443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5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17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ТФУ.НИС.443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632678948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1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237"/>
      <w:gridCol w:w="2123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</w:r>
          <w:r>
            <w:rPr>
              <w:rFonts w:ascii="Arial" w:hAnsi="Arial" w:cs="Arial"/>
              <w:i/>
              <w:sz w:val="20"/>
              <w:szCs w:val="16"/>
            </w:rPr>
          </w:r>
        </w:p>
      </w:tc>
    </w:tr>
  </w:tbl>
  <w:p>
    <w:pPr>
      <w:pStyle w:val="101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205"/>
      <w:gridCol w:w="2155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cs="Arial"/>
              <w:sz w:val="16"/>
              <w:szCs w:val="16"/>
            </w:rPr>
          </w:pPr>
          <w:r>
            <w:rPr>
              <w:lang w:val="en-US" w:eastAsia="en-U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4445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5pt;mso-position-vertical:absolute;width:97.23pt;height:28.35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  <w:t xml:space="preserve">Типска форма</w:t>
          </w:r>
          <w:r>
            <w:rPr>
              <w:rFonts w:ascii="Arial" w:hAnsi="Arial" w:cs="Arial"/>
              <w:i/>
              <w:sz w:val="20"/>
              <w:szCs w:val="16"/>
            </w:rPr>
          </w:r>
        </w:p>
      </w:tc>
    </w:tr>
  </w:tbl>
  <w:p>
    <w:pPr>
      <w:pStyle w:val="101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B390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2AE67CF3"/>
    <w:lvl w:ilvl="0">
      <w:isLgl w:val="false"/>
      <w:lvlJc w:val="left"/>
      <w:lvlText w:val="-"/>
      <w:numFmt w:val="bullet"/>
      <w:pPr>
        <w:pBdr/>
        <w:spacing/>
        <w:ind w:hanging="360" w:left="1428"/>
      </w:pPr>
      <w:rPr>
        <w:rFonts w:hint="default" w:ascii="Arial" w:hAnsi="Arial" w:eastAsia="Calibri" w:cs="Arial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8"/>
      </w:pPr>
      <w:rPr>
        <w:rFonts w:hint="default" w:ascii="Wingdings" w:hAnsi="Wingdings"/>
      </w:rPr>
      <w:start w:val="1"/>
      <w:suff w:val="tab"/>
    </w:lvl>
  </w:abstractNum>
  <w:abstractNum w:abstractNumId="2">
    <w:nsid w:val="3638426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nsid w:val="48EA0CCA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 w:eastAsia="Calibri" w:cs="Arial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4F9F5EA8"/>
    <w:lvl w:ilvl="0">
      <w:isLgl w:val="false"/>
      <w:lvlJc w:val="left"/>
      <w:lvlText w:val="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xvaoSNdl1pi152eGUvvnZPB+29wldDxKIs4oiXvPY/3rzwfwtHDvv0fit/KDxPHzvhGiVkocP3yPKdG6ebSP1w==" w:salt="6t1mSB1FqPcNP3HdG1socQ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character" w:styleId="198">
    <w:name w:val="Placeholder Text"/>
    <w:basedOn w:val="842"/>
    <w:uiPriority w:val="99"/>
    <w:semiHidden/>
    <w:pPr>
      <w:pBdr/>
      <w:spacing/>
      <w:ind/>
    </w:pPr>
    <w:rPr>
      <w:color w:val="666666"/>
    </w:rPr>
  </w:style>
  <w:style w:type="paragraph" w:styleId="832" w:default="1">
    <w:name w:val="Normal"/>
    <w:qFormat/>
    <w:pPr>
      <w:pBdr/>
      <w:spacing w:after="0" w:line="240" w:lineRule="auto"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833">
    <w:name w:val="Heading 1"/>
    <w:basedOn w:val="832"/>
    <w:next w:val="832"/>
    <w:link w:val="9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paragraph" w:styleId="834">
    <w:name w:val="Heading 2"/>
    <w:basedOn w:val="832"/>
    <w:next w:val="832"/>
    <w:link w:val="9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paragraph" w:styleId="835">
    <w:name w:val="Heading 3"/>
    <w:basedOn w:val="832"/>
    <w:next w:val="832"/>
    <w:link w:val="9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paragraph" w:styleId="836">
    <w:name w:val="Heading 4"/>
    <w:basedOn w:val="832"/>
    <w:next w:val="832"/>
    <w:link w:val="9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f5496" w:themeColor="accent1" w:themeShade="BF"/>
    </w:rPr>
  </w:style>
  <w:style w:type="paragraph" w:styleId="837">
    <w:name w:val="Heading 5"/>
    <w:basedOn w:val="832"/>
    <w:next w:val="832"/>
    <w:link w:val="9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f5496" w:themeColor="accent1" w:themeShade="BF"/>
    </w:rPr>
  </w:style>
  <w:style w:type="paragraph" w:styleId="838">
    <w:name w:val="Heading 6"/>
    <w:basedOn w:val="832"/>
    <w:next w:val="832"/>
    <w:link w:val="976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9">
    <w:name w:val="Heading 7"/>
    <w:basedOn w:val="832"/>
    <w:next w:val="832"/>
    <w:link w:val="977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0">
    <w:name w:val="Heading 8"/>
    <w:basedOn w:val="832"/>
    <w:next w:val="832"/>
    <w:link w:val="978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1">
    <w:name w:val="Heading 9"/>
    <w:basedOn w:val="832"/>
    <w:next w:val="832"/>
    <w:link w:val="979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2" w:default="1">
    <w:name w:val="Default Paragraph Font"/>
    <w:uiPriority w:val="1"/>
    <w:semiHidden/>
    <w:unhideWhenUsed/>
    <w:pPr>
      <w:pBdr/>
      <w:spacing/>
      <w:ind/>
    </w:pPr>
  </w:style>
  <w:style w:type="table" w:styleId="84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table" w:styleId="845">
    <w:name w:val="Table Grid"/>
    <w:basedOn w:val="843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Light"/>
    <w:basedOn w:val="843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Plain Table 1"/>
    <w:basedOn w:val="843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Plain Table 2"/>
    <w:basedOn w:val="843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Plain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Plain Table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Plain Table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1 Light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1 Light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1 Light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1 Light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1 Light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1 Light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1 Light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2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2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2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2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2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2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3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3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3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3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3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3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4 Accent 1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4 Accent 2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4 Accent 3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4 Accent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4 Accent 5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4 Accent 6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5 Dark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5 Dark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5 Dark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5 Dark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Grid Table 5 Dark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5 Dark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5 Dark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6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6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6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6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6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6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6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7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7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7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7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7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7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7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1 Light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1 Light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1 Light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1 Light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1 Light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1 Light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1 Light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2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2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2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2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2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2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3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3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3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3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3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3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4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4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4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4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4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4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5 Dark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5 Dark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5 Dark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5 Dark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5 Dark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5 Dark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5 Dark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6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6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6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6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6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6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6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7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7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7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7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7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7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7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ned - Accent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ned - Accent 1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ned - Accent 2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ned - Accent 3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Lined - Accent 4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ned - Accent 5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Lined - Accent 6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Bordered &amp; Lined - Accent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Bordered &amp; Lined - Accent 1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Bordered &amp; Lined - Accent 2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Bordered &amp; Lined - Accent 3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Bordered &amp; Lined - Accent 4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Bordered &amp; Lined - Accent 5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&amp; Lined - Accent 6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Bordered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Bordered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71" w:customStyle="1">
    <w:name w:val="Heading 1 Char"/>
    <w:basedOn w:val="842"/>
    <w:link w:val="83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72" w:customStyle="1">
    <w:name w:val="Heading 2 Char"/>
    <w:basedOn w:val="842"/>
    <w:link w:val="834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73" w:customStyle="1">
    <w:name w:val="Heading 3 Char"/>
    <w:basedOn w:val="842"/>
    <w:link w:val="83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74" w:customStyle="1">
    <w:name w:val="Heading 4 Char"/>
    <w:basedOn w:val="842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75" w:customStyle="1">
    <w:name w:val="Heading 5 Char"/>
    <w:basedOn w:val="842"/>
    <w:link w:val="83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76" w:customStyle="1">
    <w:name w:val="Heading 6 Char"/>
    <w:basedOn w:val="842"/>
    <w:link w:val="83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77" w:customStyle="1">
    <w:name w:val="Heading 7 Char"/>
    <w:basedOn w:val="842"/>
    <w:link w:val="83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78" w:customStyle="1">
    <w:name w:val="Heading 8 Char"/>
    <w:basedOn w:val="842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9" w:customStyle="1">
    <w:name w:val="Heading 9 Char"/>
    <w:basedOn w:val="842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80">
    <w:name w:val="Title"/>
    <w:basedOn w:val="832"/>
    <w:next w:val="832"/>
    <w:link w:val="981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81" w:customStyle="1">
    <w:name w:val="Title Char"/>
    <w:basedOn w:val="842"/>
    <w:link w:val="9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82">
    <w:name w:val="Subtitle"/>
    <w:basedOn w:val="832"/>
    <w:next w:val="832"/>
    <w:link w:val="9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83" w:customStyle="1">
    <w:name w:val="Subtitle Char"/>
    <w:basedOn w:val="842"/>
    <w:link w:val="9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84">
    <w:name w:val="Quote"/>
    <w:basedOn w:val="832"/>
    <w:next w:val="832"/>
    <w:link w:val="9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85" w:customStyle="1">
    <w:name w:val="Quote Char"/>
    <w:basedOn w:val="842"/>
    <w:link w:val="98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86">
    <w:name w:val="Intense Emphasis"/>
    <w:basedOn w:val="842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87">
    <w:name w:val="Intense Quote"/>
    <w:basedOn w:val="832"/>
    <w:next w:val="832"/>
    <w:link w:val="988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88" w:customStyle="1">
    <w:name w:val="Intense Quote Char"/>
    <w:basedOn w:val="842"/>
    <w:link w:val="987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89">
    <w:name w:val="Intense Reference"/>
    <w:basedOn w:val="842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character" w:styleId="990">
    <w:name w:val="Subtle Emphasis"/>
    <w:basedOn w:val="84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91">
    <w:name w:val="Emphasis"/>
    <w:basedOn w:val="842"/>
    <w:uiPriority w:val="20"/>
    <w:qFormat/>
    <w:pPr>
      <w:pBdr/>
      <w:spacing/>
      <w:ind/>
    </w:pPr>
    <w:rPr>
      <w:i/>
      <w:iCs/>
    </w:rPr>
  </w:style>
  <w:style w:type="character" w:styleId="992">
    <w:name w:val="Strong"/>
    <w:basedOn w:val="842"/>
    <w:uiPriority w:val="22"/>
    <w:qFormat/>
    <w:pPr>
      <w:pBdr/>
      <w:spacing/>
      <w:ind/>
    </w:pPr>
    <w:rPr>
      <w:b/>
      <w:bCs/>
    </w:rPr>
  </w:style>
  <w:style w:type="character" w:styleId="993">
    <w:name w:val="Subtle Reference"/>
    <w:basedOn w:val="84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94">
    <w:name w:val="Book Title"/>
    <w:basedOn w:val="84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95">
    <w:name w:val="Caption"/>
    <w:basedOn w:val="832"/>
    <w:next w:val="832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996">
    <w:name w:val="footnote text"/>
    <w:basedOn w:val="832"/>
    <w:link w:val="997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97" w:customStyle="1">
    <w:name w:val="Footnote Text Char"/>
    <w:basedOn w:val="842"/>
    <w:link w:val="996"/>
    <w:uiPriority w:val="99"/>
    <w:semiHidden/>
    <w:pPr>
      <w:pBdr/>
      <w:spacing/>
      <w:ind/>
    </w:pPr>
    <w:rPr>
      <w:sz w:val="20"/>
      <w:szCs w:val="20"/>
    </w:rPr>
  </w:style>
  <w:style w:type="character" w:styleId="998">
    <w:name w:val="foot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paragraph" w:styleId="999">
    <w:name w:val="endnote text"/>
    <w:basedOn w:val="832"/>
    <w:link w:val="1000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1000" w:customStyle="1">
    <w:name w:val="Endnote Text Char"/>
    <w:basedOn w:val="842"/>
    <w:link w:val="999"/>
    <w:uiPriority w:val="99"/>
    <w:semiHidden/>
    <w:pPr>
      <w:pBdr/>
      <w:spacing/>
      <w:ind/>
    </w:pPr>
    <w:rPr>
      <w:sz w:val="20"/>
      <w:szCs w:val="20"/>
    </w:rPr>
  </w:style>
  <w:style w:type="character" w:styleId="1001">
    <w:name w:val="end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character" w:styleId="1002">
    <w:name w:val="Hyperlink"/>
    <w:basedOn w:val="84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03">
    <w:name w:val="FollowedHyperlink"/>
    <w:basedOn w:val="84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04">
    <w:name w:val="toc 1"/>
    <w:basedOn w:val="832"/>
    <w:next w:val="832"/>
    <w:uiPriority w:val="39"/>
    <w:unhideWhenUsed/>
    <w:pPr>
      <w:pBdr/>
      <w:spacing w:after="100"/>
      <w:ind/>
    </w:pPr>
  </w:style>
  <w:style w:type="paragraph" w:styleId="1005">
    <w:name w:val="toc 2"/>
    <w:basedOn w:val="832"/>
    <w:next w:val="832"/>
    <w:uiPriority w:val="39"/>
    <w:unhideWhenUsed/>
    <w:pPr>
      <w:pBdr/>
      <w:spacing w:after="100"/>
      <w:ind w:left="220"/>
    </w:pPr>
  </w:style>
  <w:style w:type="paragraph" w:styleId="1006">
    <w:name w:val="toc 3"/>
    <w:basedOn w:val="832"/>
    <w:next w:val="832"/>
    <w:uiPriority w:val="39"/>
    <w:unhideWhenUsed/>
    <w:pPr>
      <w:pBdr/>
      <w:spacing w:after="100"/>
      <w:ind w:left="440"/>
    </w:pPr>
  </w:style>
  <w:style w:type="paragraph" w:styleId="1007">
    <w:name w:val="toc 4"/>
    <w:basedOn w:val="832"/>
    <w:next w:val="832"/>
    <w:uiPriority w:val="39"/>
    <w:unhideWhenUsed/>
    <w:pPr>
      <w:pBdr/>
      <w:spacing w:after="100"/>
      <w:ind w:left="660"/>
    </w:pPr>
  </w:style>
  <w:style w:type="paragraph" w:styleId="1008">
    <w:name w:val="toc 5"/>
    <w:basedOn w:val="832"/>
    <w:next w:val="832"/>
    <w:uiPriority w:val="39"/>
    <w:unhideWhenUsed/>
    <w:pPr>
      <w:pBdr/>
      <w:spacing w:after="100"/>
      <w:ind w:left="880"/>
    </w:pPr>
  </w:style>
  <w:style w:type="paragraph" w:styleId="1009">
    <w:name w:val="toc 6"/>
    <w:basedOn w:val="832"/>
    <w:next w:val="832"/>
    <w:uiPriority w:val="39"/>
    <w:unhideWhenUsed/>
    <w:pPr>
      <w:pBdr/>
      <w:spacing w:after="100"/>
      <w:ind w:left="1100"/>
    </w:pPr>
  </w:style>
  <w:style w:type="paragraph" w:styleId="1010">
    <w:name w:val="toc 7"/>
    <w:basedOn w:val="832"/>
    <w:next w:val="832"/>
    <w:uiPriority w:val="39"/>
    <w:unhideWhenUsed/>
    <w:pPr>
      <w:pBdr/>
      <w:spacing w:after="100"/>
      <w:ind w:left="1320"/>
    </w:pPr>
  </w:style>
  <w:style w:type="paragraph" w:styleId="1011">
    <w:name w:val="toc 8"/>
    <w:basedOn w:val="832"/>
    <w:next w:val="832"/>
    <w:uiPriority w:val="39"/>
    <w:unhideWhenUsed/>
    <w:pPr>
      <w:pBdr/>
      <w:spacing w:after="100"/>
      <w:ind w:left="1540"/>
    </w:pPr>
  </w:style>
  <w:style w:type="paragraph" w:styleId="1012">
    <w:name w:val="toc 9"/>
    <w:basedOn w:val="832"/>
    <w:next w:val="832"/>
    <w:uiPriority w:val="39"/>
    <w:unhideWhenUsed/>
    <w:pPr>
      <w:pBdr/>
      <w:spacing w:after="100"/>
      <w:ind w:left="1760"/>
    </w:pPr>
  </w:style>
  <w:style w:type="paragraph" w:styleId="1013">
    <w:name w:val="TOC Heading"/>
    <w:uiPriority w:val="39"/>
    <w:unhideWhenUsed/>
    <w:pPr>
      <w:pBdr/>
      <w:spacing/>
      <w:ind/>
    </w:pPr>
  </w:style>
  <w:style w:type="paragraph" w:styleId="1014">
    <w:name w:val="table of figures"/>
    <w:basedOn w:val="832"/>
    <w:next w:val="832"/>
    <w:uiPriority w:val="99"/>
    <w:unhideWhenUsed/>
    <w:pPr>
      <w:pBdr/>
      <w:spacing/>
      <w:ind/>
    </w:pPr>
  </w:style>
  <w:style w:type="paragraph" w:styleId="1015">
    <w:name w:val="Header"/>
    <w:basedOn w:val="832"/>
    <w:link w:val="1016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016" w:customStyle="1">
    <w:name w:val="Header Char"/>
    <w:basedOn w:val="842"/>
    <w:link w:val="1015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17">
    <w:name w:val="Footer"/>
    <w:basedOn w:val="832"/>
    <w:link w:val="1018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018" w:customStyle="1">
    <w:name w:val="Footer Char"/>
    <w:basedOn w:val="842"/>
    <w:link w:val="1017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19">
    <w:name w:val="List Paragraph"/>
    <w:basedOn w:val="832"/>
    <w:qFormat/>
    <w:pPr>
      <w:pBdr/>
      <w:spacing/>
      <w:ind w:left="720"/>
      <w:contextualSpacing w:val="true"/>
    </w:pPr>
  </w:style>
  <w:style w:type="paragraph" w:styleId="1020">
    <w:name w:val="No Spacing"/>
    <w:basedOn w:val="832"/>
    <w:link w:val="1021"/>
    <w:uiPriority w:val="1"/>
    <w:qFormat/>
    <w:pPr>
      <w:pBdr/>
      <w:spacing/>
      <w:ind/>
    </w:pPr>
  </w:style>
  <w:style w:type="character" w:styleId="1021" w:customStyle="1">
    <w:name w:val="No Spacing Char"/>
    <w:basedOn w:val="842"/>
    <w:link w:val="1020"/>
    <w:uiPriority w:val="1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22" w:customStyle="1">
    <w:name w:val="Heading"/>
    <w:pPr>
      <w:pBdr/>
      <w:spacing w:after="0" w:line="240" w:lineRule="auto"/>
      <w:ind/>
    </w:pPr>
    <w:rPr>
      <w:rFonts w:ascii="Consultant" w:hAnsi="Consultant" w:eastAsia="Calibri" w:cs="Consultant"/>
      <w:b/>
      <w:bCs/>
      <w:lang w:val="ru-RU" w:eastAsia="ru-RU"/>
    </w:rPr>
  </w:style>
  <w:style w:type="paragraph" w:styleId="1023" w:customStyle="1">
    <w:name w:val="normal1"/>
    <w:basedOn w:val="832"/>
    <w:pPr>
      <w:pBdr/>
      <w:spacing w:after="100" w:afterAutospacing="1" w:before="100" w:beforeAutospacing="1"/>
      <w:ind/>
    </w:pPr>
    <w:rPr>
      <w:rFonts w:eastAsia="MS Mincho"/>
      <w:lang w:val="en-US" w:eastAsia="ja-JP"/>
    </w:rPr>
  </w:style>
  <w:style w:type="paragraph" w:styleId="1024" w:customStyle="1">
    <w:name w:val="Normal1"/>
    <w:pPr>
      <w:widowControl w:val="false"/>
      <w:pBdr/>
      <w:spacing w:after="0" w:line="260" w:lineRule="auto"/>
      <w:ind w:firstLine="500"/>
    </w:pPr>
    <w:rPr>
      <w:rFonts w:ascii="Arial" w:hAnsi="Arial" w:eastAsia="Times New Roman" w:cs="Times New Roman"/>
      <w:szCs w:val="20"/>
      <w:lang w:val="ru-RU" w:eastAsia="ru-RU"/>
    </w:rPr>
  </w:style>
  <w:style w:type="paragraph" w:styleId="1025">
    <w:name w:val="Body Text"/>
    <w:basedOn w:val="832"/>
    <w:link w:val="1026"/>
    <w:pPr>
      <w:pBdr/>
      <w:spacing/>
      <w:ind/>
      <w:jc w:val="both"/>
    </w:pPr>
    <w:rPr>
      <w:rFonts w:eastAsia="Times New Roman"/>
      <w:sz w:val="22"/>
      <w:szCs w:val="20"/>
    </w:rPr>
  </w:style>
  <w:style w:type="character" w:styleId="1026" w:customStyle="1">
    <w:name w:val="Body Text Char"/>
    <w:basedOn w:val="842"/>
    <w:link w:val="1025"/>
    <w:pPr>
      <w:pBdr/>
      <w:spacing/>
      <w:ind/>
    </w:pPr>
    <w:rPr>
      <w:rFonts w:ascii="Times New Roman" w:hAnsi="Times New Roman" w:eastAsia="Times New Roman" w:cs="Times New Roman"/>
      <w:szCs w:val="20"/>
      <w:lang w:val="ru-RU" w:eastAsia="ru-RU"/>
    </w:rPr>
  </w:style>
  <w:style w:type="paragraph" w:styleId="1027">
    <w:name w:val="Balloon Text"/>
    <w:basedOn w:val="832"/>
    <w:link w:val="1028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28" w:customStyle="1">
    <w:name w:val="Balloon Text Char"/>
    <w:basedOn w:val="842"/>
    <w:link w:val="1027"/>
    <w:uiPriority w:val="99"/>
    <w:semiHidden/>
    <w:pPr>
      <w:pBdr/>
      <w:spacing/>
      <w:ind/>
    </w:pPr>
    <w:rPr>
      <w:rFonts w:ascii="Segoe UI" w:hAnsi="Segoe UI" w:eastAsia="Calibri" w:cs="Segoe UI"/>
      <w:sz w:val="18"/>
      <w:szCs w:val="18"/>
      <w:lang w:val="ru-RU" w:eastAsia="ru-RU"/>
    </w:rPr>
  </w:style>
  <w:style w:type="character" w:styleId="1029">
    <w:name w:val="annotation reference"/>
    <w:basedOn w:val="842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30">
    <w:name w:val="annotation text"/>
    <w:basedOn w:val="832"/>
    <w:link w:val="103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1031" w:customStyle="1">
    <w:name w:val="Comment Text Char"/>
    <w:basedOn w:val="842"/>
    <w:link w:val="1030"/>
    <w:uiPriority w:val="99"/>
    <w:semiHidden/>
    <w:pPr>
      <w:pBdr/>
      <w:spacing/>
      <w:ind/>
    </w:pPr>
    <w:rPr>
      <w:rFonts w:ascii="Times New Roman" w:hAnsi="Times New Roman" w:eastAsia="Calibri" w:cs="Times New Roman"/>
      <w:sz w:val="20"/>
      <w:szCs w:val="20"/>
      <w:lang w:val="ru-RU" w:eastAsia="ru-RU"/>
    </w:rPr>
  </w:style>
  <w:style w:type="paragraph" w:styleId="1032">
    <w:name w:val="annotation subject"/>
    <w:basedOn w:val="1030"/>
    <w:next w:val="1030"/>
    <w:link w:val="1033"/>
    <w:uiPriority w:val="99"/>
    <w:semiHidden/>
    <w:unhideWhenUsed/>
    <w:pPr>
      <w:pBdr/>
      <w:spacing/>
      <w:ind/>
    </w:pPr>
    <w:rPr>
      <w:b/>
      <w:bCs/>
    </w:rPr>
  </w:style>
  <w:style w:type="character" w:styleId="1033" w:customStyle="1">
    <w:name w:val="Comment Subject Char"/>
    <w:basedOn w:val="1031"/>
    <w:link w:val="1032"/>
    <w:uiPriority w:val="99"/>
    <w:semiHidden/>
    <w:pPr>
      <w:pBdr/>
      <w:spacing/>
      <w:ind/>
    </w:pPr>
    <w:rPr>
      <w:rFonts w:ascii="Times New Roman" w:hAnsi="Times New Roman" w:eastAsia="Calibri" w:cs="Times New Roman"/>
      <w:b/>
      <w:bCs/>
      <w:sz w:val="20"/>
      <w:szCs w:val="20"/>
      <w:lang w:val="ru-RU" w:eastAsia="ru-RU"/>
    </w:rPr>
  </w:style>
  <w:style w:type="paragraph" w:styleId="1034">
    <w:name w:val="Revision"/>
    <w:hidden/>
    <w:uiPriority w:val="99"/>
    <w:semiHidden/>
    <w:pPr>
      <w:pBdr/>
      <w:spacing w:after="0" w:line="240" w:lineRule="auto"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35" w:customStyle="1">
    <w:name w:val="Normal2"/>
    <w:basedOn w:val="832"/>
    <w:pPr>
      <w:pBdr/>
      <w:spacing w:after="100" w:afterAutospacing="1" w:before="100" w:beforeAutospacing="1"/>
      <w:ind/>
    </w:pPr>
    <w:rPr>
      <w:rFonts w:eastAsia="Times New Roman"/>
      <w:lang w:val="sr-Latn-RS" w:eastAsia="sr-Latn-RS"/>
    </w:rPr>
  </w:style>
  <w:style w:type="paragraph" w:styleId="1036">
    <w:name w:val="Normal (Web)"/>
    <w:basedOn w:val="832"/>
    <w:uiPriority w:val="99"/>
    <w:unhideWhenUsed/>
    <w:pPr>
      <w:pBdr/>
      <w:spacing w:after="100" w:afterAutospacing="1" w:before="100" w:beforeAutospacing="1"/>
      <w:ind/>
    </w:pPr>
    <w:rPr>
      <w:rFonts w:eastAsia="Times New Roman"/>
      <w:lang w:val="sr-Latn-RS" w:eastAsia="sr-Latn-R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D2CAB-75CB-42D8-B6A3-CDE73E71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D. Milosev</dc:creator>
  <cp:keywords>Klasifikacija: За компанијску употребу/For use in company</cp:keywords>
  <dc:description/>
  <cp:lastModifiedBy>G1 Vladimir Poptešin</cp:lastModifiedBy>
  <cp:revision>8</cp:revision>
  <dcterms:created xsi:type="dcterms:W3CDTF">2025-02-04T21:49:00Z</dcterms:created>
  <dcterms:modified xsi:type="dcterms:W3CDTF">2026-06-05T09:12:53Z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abcdf888-c8d9-4ae3-83ad-b29dcd2aefef</vt:lpwstr>
  </property>
  <property fmtid="{D5CDD505-2E9C-101B-9397-08002B2CF9AE}" pid="3" name="Klasifikacija">
    <vt:lpwstr>Za-internu-upotrebu-Restricted</vt:lpwstr>
  </property>
</Properties>
</file>